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AB4" w:rsidRDefault="00AD2AB4" w:rsidP="00AD2AB4">
      <w:pPr>
        <w:pStyle w:val="Heading1"/>
        <w:ind w:left="0" w:right="2137" w:firstLine="0"/>
        <w:rPr>
          <w:b w:val="0"/>
          <w:bCs w:val="0"/>
        </w:rPr>
      </w:pPr>
      <w:r w:rsidRPr="00F60E5D">
        <w:rPr>
          <w:rFonts w:ascii="Calibri" w:hAnsi="Calibri" w:cs="Calibri"/>
          <w:noProof/>
        </w:rPr>
        <w:drawing>
          <wp:anchor distT="0" distB="0" distL="114300" distR="114300" simplePos="0" relativeHeight="251659264" behindDoc="0" locked="0" layoutInCell="1" allowOverlap="1" wp14:anchorId="0AEAE0BC" wp14:editId="6FBC4C82">
            <wp:simplePos x="0" y="0"/>
            <wp:positionH relativeFrom="column">
              <wp:posOffset>0</wp:posOffset>
            </wp:positionH>
            <wp:positionV relativeFrom="paragraph">
              <wp:posOffset>182880</wp:posOffset>
            </wp:positionV>
            <wp:extent cx="2765425" cy="1543050"/>
            <wp:effectExtent l="0" t="0" r="0" b="0"/>
            <wp:wrapSquare wrapText="bothSides"/>
            <wp:docPr id="1073741825"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image1.png"/>
                    <pic:cNvPicPr preferRelativeResize="0"/>
                  </pic:nvPicPr>
                  <pic:blipFill rotWithShape="1">
                    <a:blip r:embed="rId8" cstate="print">
                      <a:extLst>
                        <a:ext uri="{28A0092B-C50C-407E-A947-70E740481C1C}">
                          <a14:useLocalDpi xmlns:a14="http://schemas.microsoft.com/office/drawing/2010/main" val="0"/>
                        </a:ext>
                      </a:extLst>
                    </a:blip>
                    <a:srcRect l="13710" t="13565" r="9677" b="31132"/>
                    <a:stretch/>
                  </pic:blipFill>
                  <pic:spPr bwMode="auto">
                    <a:xfrm>
                      <a:off x="0" y="0"/>
                      <a:ext cx="2765425" cy="1543050"/>
                    </a:xfrm>
                    <a:prstGeom prst="rect">
                      <a:avLst/>
                    </a:prstGeom>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tab/>
      </w:r>
      <w:r>
        <w:tab/>
      </w:r>
      <w:r>
        <w:tab/>
      </w:r>
      <w:r>
        <w:tab/>
      </w:r>
      <w:r>
        <w:tab/>
      </w:r>
    </w:p>
    <w:p w:rsidR="00FB70E1" w:rsidRDefault="00FB70E1" w:rsidP="00AD2AB4">
      <w:pPr>
        <w:spacing w:after="0"/>
      </w:pPr>
    </w:p>
    <w:p w:rsidR="00AD2AB4" w:rsidRDefault="00AD2AB4" w:rsidP="00AD2AB4">
      <w:pPr>
        <w:spacing w:after="0"/>
      </w:pPr>
    </w:p>
    <w:p w:rsidR="00AD2AB4" w:rsidRDefault="00AD2AB4" w:rsidP="00AD2AB4">
      <w:pPr>
        <w:spacing w:after="0"/>
      </w:pPr>
    </w:p>
    <w:p w:rsidR="00AD2AB4" w:rsidRDefault="00AD2AB4" w:rsidP="00AD2AB4">
      <w:pPr>
        <w:spacing w:after="0"/>
      </w:pPr>
    </w:p>
    <w:p w:rsidR="00AD2AB4" w:rsidRDefault="00AD2AB4" w:rsidP="00AD2AB4">
      <w:pPr>
        <w:spacing w:after="0"/>
      </w:pPr>
    </w:p>
    <w:p w:rsidR="00A746AB" w:rsidRDefault="00A746AB" w:rsidP="00A746AB">
      <w:pPr>
        <w:ind w:left="1440"/>
        <w:jc w:val="center"/>
        <w:rPr>
          <w:rFonts w:ascii="Calibri" w:hAnsi="Calibri"/>
          <w:b/>
          <w:sz w:val="48"/>
          <w:szCs w:val="48"/>
        </w:rPr>
      </w:pPr>
      <w:r w:rsidRPr="00A746AB">
        <w:rPr>
          <w:rFonts w:ascii="Calibri" w:hAnsi="Calibri"/>
          <w:b/>
          <w:sz w:val="48"/>
          <w:szCs w:val="48"/>
        </w:rPr>
        <w:t xml:space="preserve">EXHIBIT/DISPLAY </w:t>
      </w:r>
      <w:r w:rsidR="00A40450" w:rsidRPr="00A746AB">
        <w:rPr>
          <w:rFonts w:ascii="Calibri" w:hAnsi="Calibri"/>
          <w:b/>
          <w:sz w:val="48"/>
          <w:szCs w:val="48"/>
        </w:rPr>
        <w:t>POLICY</w:t>
      </w:r>
    </w:p>
    <w:p w:rsidR="00A746AB" w:rsidRDefault="00A746AB" w:rsidP="00A746AB">
      <w:pPr>
        <w:spacing w:before="100" w:beforeAutospacing="1" w:after="100" w:afterAutospacing="1" w:line="240" w:lineRule="auto"/>
        <w:rPr>
          <w:rFonts w:ascii="Calibri" w:eastAsia="Times New Roman" w:hAnsi="Calibri" w:cs="Times New Roman"/>
          <w:sz w:val="24"/>
          <w:szCs w:val="24"/>
        </w:rPr>
      </w:pPr>
    </w:p>
    <w:p w:rsidR="00A746AB" w:rsidRPr="00A746AB" w:rsidRDefault="00A746AB" w:rsidP="00A746AB">
      <w:pPr>
        <w:spacing w:before="100" w:beforeAutospacing="1" w:after="100" w:afterAutospacing="1" w:line="240" w:lineRule="auto"/>
        <w:rPr>
          <w:rFonts w:ascii="Calibri" w:eastAsia="Times New Roman" w:hAnsi="Calibri" w:cs="Times New Roman"/>
          <w:sz w:val="24"/>
          <w:szCs w:val="24"/>
        </w:rPr>
      </w:pPr>
      <w:r w:rsidRPr="00A746AB">
        <w:rPr>
          <w:rFonts w:ascii="Calibri" w:eastAsia="Times New Roman" w:hAnsi="Calibri" w:cs="Times New Roman"/>
          <w:sz w:val="24"/>
          <w:szCs w:val="24"/>
        </w:rPr>
        <w:t xml:space="preserve">The Aurora Public Library makes public exhibit and display space available at its Santori, Eola Road Branch, and West Branch locations in support of the library’s role as the place where Aurora comes together to discover, create, connect, and succeed. </w:t>
      </w:r>
    </w:p>
    <w:p w:rsidR="00A746AB" w:rsidRPr="00A746AB" w:rsidRDefault="00A746AB" w:rsidP="00A746AB">
      <w:pPr>
        <w:spacing w:before="100" w:beforeAutospacing="1" w:after="100" w:afterAutospacing="1" w:line="240" w:lineRule="auto"/>
        <w:rPr>
          <w:rFonts w:ascii="Calibri" w:eastAsia="Times New Roman" w:hAnsi="Calibri" w:cs="Times New Roman"/>
          <w:sz w:val="24"/>
          <w:szCs w:val="24"/>
        </w:rPr>
      </w:pPr>
      <w:r w:rsidRPr="00A746AB">
        <w:rPr>
          <w:rFonts w:ascii="Calibri" w:eastAsia="Times New Roman" w:hAnsi="Calibri" w:cs="Times New Roman"/>
          <w:sz w:val="24"/>
          <w:szCs w:val="24"/>
        </w:rPr>
        <w:t xml:space="preserve">The library accepts and considers proposals for temporary exhibits and displays on an ongoing basis. The library accommodates </w:t>
      </w:r>
      <w:proofErr w:type="gramStart"/>
      <w:r w:rsidRPr="00A746AB">
        <w:rPr>
          <w:rFonts w:ascii="Calibri" w:eastAsia="Times New Roman" w:hAnsi="Calibri" w:cs="Times New Roman"/>
          <w:sz w:val="24"/>
          <w:szCs w:val="24"/>
        </w:rPr>
        <w:t>requests</w:t>
      </w:r>
      <w:proofErr w:type="gramEnd"/>
      <w:r w:rsidRPr="00A746AB">
        <w:rPr>
          <w:rFonts w:ascii="Calibri" w:eastAsia="Times New Roman" w:hAnsi="Calibri" w:cs="Times New Roman"/>
          <w:sz w:val="24"/>
          <w:szCs w:val="24"/>
        </w:rPr>
        <w:t xml:space="preserve"> as space is available. </w:t>
      </w:r>
    </w:p>
    <w:p w:rsidR="00A746AB" w:rsidRPr="00A746AB" w:rsidRDefault="00A746AB" w:rsidP="00A746AB">
      <w:pPr>
        <w:spacing w:before="100" w:beforeAutospacing="1" w:after="100" w:afterAutospacing="1" w:line="240" w:lineRule="auto"/>
        <w:rPr>
          <w:rFonts w:ascii="Calibri" w:eastAsia="Times New Roman" w:hAnsi="Calibri" w:cs="Times New Roman"/>
          <w:sz w:val="24"/>
          <w:szCs w:val="24"/>
        </w:rPr>
      </w:pPr>
      <w:r w:rsidRPr="00A746AB">
        <w:rPr>
          <w:rFonts w:ascii="Calibri" w:eastAsia="Times New Roman" w:hAnsi="Calibri" w:cs="Times New Roman"/>
          <w:sz w:val="24"/>
          <w:szCs w:val="24"/>
        </w:rPr>
        <w:t xml:space="preserve">The library neither advocates for nor endorses the viewpoints of exhibits or exhibitors. </w:t>
      </w:r>
    </w:p>
    <w:p w:rsidR="00A746AB" w:rsidRPr="00A746AB" w:rsidRDefault="00A746AB" w:rsidP="00A746AB">
      <w:pPr>
        <w:spacing w:before="100" w:beforeAutospacing="1" w:after="100" w:afterAutospacing="1" w:line="240" w:lineRule="auto"/>
        <w:rPr>
          <w:rFonts w:ascii="Calibri" w:hAnsi="Calibri"/>
          <w:b/>
          <w:sz w:val="24"/>
          <w:szCs w:val="24"/>
        </w:rPr>
      </w:pPr>
      <w:r w:rsidRPr="00A746AB">
        <w:rPr>
          <w:rFonts w:ascii="Calibri" w:hAnsi="Calibri"/>
          <w:b/>
          <w:sz w:val="24"/>
          <w:szCs w:val="24"/>
        </w:rPr>
        <w:t>EXHIBIT/DISPLAY SPACE AT AURORA PUBLIC LIBRARY LOCATIONS</w:t>
      </w:r>
    </w:p>
    <w:p w:rsidR="00A746AB" w:rsidRPr="00A746AB" w:rsidRDefault="00A746AB" w:rsidP="00A746AB">
      <w:pPr>
        <w:rPr>
          <w:rFonts w:ascii="Calibri" w:hAnsi="Calibri"/>
          <w:sz w:val="24"/>
          <w:szCs w:val="24"/>
        </w:rPr>
      </w:pPr>
      <w:r w:rsidRPr="00A746AB">
        <w:rPr>
          <w:rFonts w:ascii="Calibri" w:hAnsi="Calibri"/>
          <w:b/>
          <w:sz w:val="24"/>
          <w:szCs w:val="24"/>
        </w:rPr>
        <w:t>Santori Public Library</w:t>
      </w:r>
      <w:r w:rsidRPr="00A746AB">
        <w:rPr>
          <w:rFonts w:ascii="Calibri" w:hAnsi="Calibri"/>
          <w:sz w:val="24"/>
          <w:szCs w:val="24"/>
        </w:rPr>
        <w:t>, 101 S. River Street, Aurora.</w:t>
      </w:r>
    </w:p>
    <w:p w:rsidR="00A746AB" w:rsidRPr="00A746AB" w:rsidRDefault="00A746AB" w:rsidP="00A746AB">
      <w:pPr>
        <w:rPr>
          <w:rFonts w:ascii="Calibri" w:hAnsi="Calibri"/>
          <w:sz w:val="24"/>
          <w:szCs w:val="24"/>
        </w:rPr>
      </w:pPr>
      <w:r w:rsidRPr="00A746AB">
        <w:rPr>
          <w:rFonts w:ascii="Calibri" w:hAnsi="Calibri"/>
          <w:sz w:val="24"/>
          <w:szCs w:val="24"/>
        </w:rPr>
        <w:t xml:space="preserve">The Santori Library’s </w:t>
      </w:r>
      <w:r w:rsidR="00622158">
        <w:rPr>
          <w:rFonts w:ascii="Calibri" w:hAnsi="Calibri"/>
          <w:sz w:val="24"/>
          <w:szCs w:val="24"/>
        </w:rPr>
        <w:t>a</w:t>
      </w:r>
      <w:r w:rsidRPr="00A746AB">
        <w:rPr>
          <w:rFonts w:ascii="Calibri" w:hAnsi="Calibri"/>
          <w:sz w:val="24"/>
          <w:szCs w:val="24"/>
        </w:rPr>
        <w:t xml:space="preserve">trium is suitable for large 2D and 3D exhibits and installations. Adjacent to and visible from the </w:t>
      </w:r>
      <w:r w:rsidR="00622158">
        <w:rPr>
          <w:rFonts w:ascii="Calibri" w:hAnsi="Calibri"/>
          <w:sz w:val="24"/>
          <w:szCs w:val="24"/>
        </w:rPr>
        <w:t>a</w:t>
      </w:r>
      <w:r w:rsidRPr="00A746AB">
        <w:rPr>
          <w:rFonts w:ascii="Calibri" w:hAnsi="Calibri"/>
          <w:sz w:val="24"/>
          <w:szCs w:val="24"/>
        </w:rPr>
        <w:t xml:space="preserve">trium </w:t>
      </w:r>
      <w:r w:rsidR="0090508B">
        <w:rPr>
          <w:rFonts w:ascii="Calibri" w:hAnsi="Calibri"/>
          <w:sz w:val="24"/>
          <w:szCs w:val="24"/>
        </w:rPr>
        <w:t>is one</w:t>
      </w:r>
      <w:r w:rsidRPr="00A746AB">
        <w:rPr>
          <w:rFonts w:ascii="Calibri" w:hAnsi="Calibri"/>
          <w:sz w:val="24"/>
          <w:szCs w:val="24"/>
        </w:rPr>
        <w:t xml:space="preserve"> secure glass window area that </w:t>
      </w:r>
      <w:r w:rsidR="0090508B">
        <w:rPr>
          <w:rFonts w:ascii="Calibri" w:hAnsi="Calibri"/>
          <w:sz w:val="24"/>
          <w:szCs w:val="24"/>
        </w:rPr>
        <w:t>will accommodate a</w:t>
      </w:r>
      <w:r w:rsidRPr="00A746AB">
        <w:rPr>
          <w:rFonts w:ascii="Calibri" w:hAnsi="Calibri"/>
          <w:sz w:val="24"/>
          <w:szCs w:val="24"/>
        </w:rPr>
        <w:t xml:space="preserve"> smaller display. Interested individuals and groups should contact the Special Events Manager at 630-264-416</w:t>
      </w:r>
      <w:r w:rsidR="0090508B">
        <w:rPr>
          <w:rFonts w:ascii="Calibri" w:hAnsi="Calibri"/>
          <w:sz w:val="24"/>
          <w:szCs w:val="24"/>
        </w:rPr>
        <w:t>2</w:t>
      </w:r>
      <w:r w:rsidRPr="00A746AB">
        <w:rPr>
          <w:rFonts w:ascii="Calibri" w:hAnsi="Calibri"/>
          <w:sz w:val="24"/>
          <w:szCs w:val="24"/>
        </w:rPr>
        <w:t xml:space="preserve"> or </w:t>
      </w:r>
      <w:hyperlink r:id="rId9" w:history="1">
        <w:r w:rsidRPr="00A746AB">
          <w:rPr>
            <w:rStyle w:val="Hyperlink"/>
            <w:rFonts w:ascii="Calibri" w:hAnsi="Calibri"/>
            <w:sz w:val="24"/>
            <w:szCs w:val="24"/>
          </w:rPr>
          <w:t>santoriexhibits@aurorapubliclibrary.org</w:t>
        </w:r>
      </w:hyperlink>
      <w:r w:rsidRPr="00A746AB">
        <w:rPr>
          <w:rFonts w:ascii="Calibri" w:hAnsi="Calibri"/>
          <w:sz w:val="24"/>
          <w:szCs w:val="24"/>
        </w:rPr>
        <w:t xml:space="preserve">. </w:t>
      </w:r>
    </w:p>
    <w:p w:rsidR="00A746AB" w:rsidRPr="00A746AB" w:rsidRDefault="00A746AB" w:rsidP="00A746AB">
      <w:pPr>
        <w:rPr>
          <w:rFonts w:ascii="Calibri" w:hAnsi="Calibri"/>
          <w:sz w:val="24"/>
          <w:szCs w:val="24"/>
        </w:rPr>
      </w:pPr>
      <w:r w:rsidRPr="00A746AB">
        <w:rPr>
          <w:rFonts w:ascii="Calibri" w:hAnsi="Calibri"/>
          <w:b/>
          <w:sz w:val="24"/>
          <w:szCs w:val="24"/>
        </w:rPr>
        <w:t>Eola Road Branch</w:t>
      </w:r>
      <w:r w:rsidRPr="00A746AB">
        <w:rPr>
          <w:rFonts w:ascii="Calibri" w:hAnsi="Calibri"/>
          <w:sz w:val="24"/>
          <w:szCs w:val="24"/>
        </w:rPr>
        <w:t>, 555 S. Eola Road., Aurora.</w:t>
      </w:r>
    </w:p>
    <w:p w:rsidR="00A746AB" w:rsidRPr="00A746AB" w:rsidRDefault="00A746AB" w:rsidP="00A746AB">
      <w:pPr>
        <w:rPr>
          <w:rFonts w:ascii="Calibri" w:hAnsi="Calibri"/>
          <w:sz w:val="24"/>
          <w:szCs w:val="24"/>
        </w:rPr>
      </w:pPr>
      <w:r w:rsidRPr="00A746AB">
        <w:rPr>
          <w:rFonts w:ascii="Calibri" w:hAnsi="Calibri"/>
          <w:sz w:val="24"/>
          <w:szCs w:val="24"/>
        </w:rPr>
        <w:t xml:space="preserve">The Eola Road Branch has </w:t>
      </w:r>
      <w:proofErr w:type="gramStart"/>
      <w:r w:rsidR="00EF3B6A">
        <w:rPr>
          <w:rFonts w:ascii="Calibri" w:hAnsi="Calibri"/>
          <w:sz w:val="24"/>
          <w:szCs w:val="24"/>
        </w:rPr>
        <w:t xml:space="preserve">one </w:t>
      </w:r>
      <w:r w:rsidRPr="00A746AB">
        <w:rPr>
          <w:rFonts w:ascii="Calibri" w:hAnsi="Calibri"/>
          <w:sz w:val="24"/>
          <w:szCs w:val="24"/>
        </w:rPr>
        <w:t xml:space="preserve"> secure</w:t>
      </w:r>
      <w:proofErr w:type="gramEnd"/>
      <w:r w:rsidRPr="00A746AB">
        <w:rPr>
          <w:rFonts w:ascii="Calibri" w:hAnsi="Calibri"/>
          <w:sz w:val="24"/>
          <w:szCs w:val="24"/>
        </w:rPr>
        <w:t>, glass-front display case</w:t>
      </w:r>
      <w:r w:rsidR="00EF3B6A">
        <w:rPr>
          <w:rFonts w:ascii="Calibri" w:hAnsi="Calibri"/>
          <w:sz w:val="24"/>
          <w:szCs w:val="24"/>
        </w:rPr>
        <w:t>, two mobile display cases,</w:t>
      </w:r>
      <w:r w:rsidRPr="00A746AB">
        <w:rPr>
          <w:rFonts w:ascii="Calibri" w:hAnsi="Calibri"/>
          <w:sz w:val="24"/>
          <w:szCs w:val="24"/>
        </w:rPr>
        <w:t xml:space="preserve"> and limited exhibit space in other areas of the library.  Interested individuals and groups should contact the Eola Road Branch Manager at 630.264.3410 or </w:t>
      </w:r>
      <w:hyperlink r:id="rId10" w:history="1">
        <w:r w:rsidRPr="00A746AB">
          <w:rPr>
            <w:rStyle w:val="Hyperlink"/>
            <w:rFonts w:ascii="Calibri" w:hAnsi="Calibri"/>
            <w:sz w:val="24"/>
            <w:szCs w:val="24"/>
          </w:rPr>
          <w:t>eolaexhibits@aurorapubliclibrary.org</w:t>
        </w:r>
      </w:hyperlink>
      <w:r w:rsidRPr="00A746AB">
        <w:rPr>
          <w:rFonts w:ascii="Calibri" w:hAnsi="Calibri"/>
          <w:sz w:val="24"/>
          <w:szCs w:val="24"/>
        </w:rPr>
        <w:t xml:space="preserve">.   </w:t>
      </w:r>
    </w:p>
    <w:p w:rsidR="00A746AB" w:rsidRPr="00A746AB" w:rsidRDefault="00A746AB" w:rsidP="00A746AB">
      <w:pPr>
        <w:rPr>
          <w:rFonts w:ascii="Calibri" w:hAnsi="Calibri"/>
          <w:sz w:val="24"/>
          <w:szCs w:val="24"/>
        </w:rPr>
      </w:pPr>
      <w:r w:rsidRPr="00A746AB">
        <w:rPr>
          <w:rFonts w:ascii="Calibri" w:hAnsi="Calibri"/>
          <w:b/>
          <w:sz w:val="24"/>
          <w:szCs w:val="24"/>
        </w:rPr>
        <w:t>West Branch</w:t>
      </w:r>
      <w:r w:rsidRPr="00A746AB">
        <w:rPr>
          <w:rFonts w:ascii="Calibri" w:hAnsi="Calibri"/>
          <w:sz w:val="24"/>
          <w:szCs w:val="24"/>
        </w:rPr>
        <w:t xml:space="preserve">, 233 S. Constitution Drive, Aurora. </w:t>
      </w:r>
    </w:p>
    <w:p w:rsidR="00A746AB" w:rsidRPr="00A746AB" w:rsidRDefault="00A746AB" w:rsidP="00A746AB">
      <w:pPr>
        <w:rPr>
          <w:rFonts w:ascii="Calibri" w:hAnsi="Calibri"/>
          <w:sz w:val="24"/>
          <w:szCs w:val="24"/>
        </w:rPr>
      </w:pPr>
      <w:r w:rsidRPr="00A746AB">
        <w:rPr>
          <w:rFonts w:ascii="Calibri" w:hAnsi="Calibri"/>
          <w:sz w:val="24"/>
          <w:szCs w:val="24"/>
        </w:rPr>
        <w:t xml:space="preserve">The West Branch has </w:t>
      </w:r>
      <w:proofErr w:type="gramStart"/>
      <w:r w:rsidR="00622158">
        <w:rPr>
          <w:rFonts w:ascii="Calibri" w:hAnsi="Calibri"/>
          <w:sz w:val="24"/>
          <w:szCs w:val="24"/>
        </w:rPr>
        <w:t xml:space="preserve">four </w:t>
      </w:r>
      <w:r w:rsidRPr="00A746AB">
        <w:rPr>
          <w:rFonts w:ascii="Calibri" w:hAnsi="Calibri"/>
          <w:sz w:val="24"/>
          <w:szCs w:val="24"/>
        </w:rPr>
        <w:t xml:space="preserve"> secure</w:t>
      </w:r>
      <w:proofErr w:type="gramEnd"/>
      <w:r w:rsidRPr="00A746AB">
        <w:rPr>
          <w:rFonts w:ascii="Calibri" w:hAnsi="Calibri"/>
          <w:sz w:val="24"/>
          <w:szCs w:val="24"/>
        </w:rPr>
        <w:t>, glass-front display cases</w:t>
      </w:r>
      <w:r w:rsidR="00455F12">
        <w:rPr>
          <w:rFonts w:ascii="Calibri" w:hAnsi="Calibri"/>
          <w:sz w:val="24"/>
          <w:szCs w:val="24"/>
        </w:rPr>
        <w:t xml:space="preserve"> available for public use. </w:t>
      </w:r>
      <w:r w:rsidRPr="00A746AB">
        <w:rPr>
          <w:rFonts w:ascii="Calibri" w:hAnsi="Calibri"/>
          <w:sz w:val="24"/>
          <w:szCs w:val="24"/>
        </w:rPr>
        <w:t xml:space="preserve">Interested individuals and groups should contact the West Branch Manager at 630.264.3410 or </w:t>
      </w:r>
      <w:hyperlink r:id="rId11" w:history="1">
        <w:r w:rsidRPr="00A746AB">
          <w:rPr>
            <w:rStyle w:val="Hyperlink"/>
            <w:rFonts w:ascii="Calibri" w:hAnsi="Calibri"/>
            <w:sz w:val="24"/>
            <w:szCs w:val="24"/>
          </w:rPr>
          <w:t>westexhibits@aurorapubliclibrary.org</w:t>
        </w:r>
      </w:hyperlink>
      <w:r w:rsidRPr="00A746AB">
        <w:rPr>
          <w:rFonts w:ascii="Calibri" w:hAnsi="Calibri"/>
          <w:sz w:val="24"/>
          <w:szCs w:val="24"/>
        </w:rPr>
        <w:t xml:space="preserve">.  </w:t>
      </w:r>
    </w:p>
    <w:p w:rsidR="00455F12" w:rsidRDefault="00455F12" w:rsidP="00A746AB">
      <w:pPr>
        <w:spacing w:before="100" w:beforeAutospacing="1" w:after="100" w:afterAutospacing="1" w:line="240" w:lineRule="auto"/>
        <w:rPr>
          <w:rFonts w:ascii="Calibri" w:eastAsia="Times New Roman" w:hAnsi="Calibri" w:cs="Times New Roman"/>
          <w:b/>
          <w:sz w:val="24"/>
          <w:szCs w:val="24"/>
        </w:rPr>
      </w:pPr>
    </w:p>
    <w:p w:rsidR="00455F12" w:rsidRDefault="00455F12" w:rsidP="00A746AB">
      <w:pPr>
        <w:spacing w:before="100" w:beforeAutospacing="1" w:after="100" w:afterAutospacing="1" w:line="240" w:lineRule="auto"/>
        <w:rPr>
          <w:rFonts w:ascii="Calibri" w:eastAsia="Times New Roman" w:hAnsi="Calibri" w:cs="Times New Roman"/>
          <w:b/>
          <w:sz w:val="24"/>
          <w:szCs w:val="24"/>
        </w:rPr>
      </w:pPr>
    </w:p>
    <w:p w:rsidR="00A746AB" w:rsidRPr="00A746AB" w:rsidRDefault="00A746AB" w:rsidP="00A746AB">
      <w:pPr>
        <w:spacing w:before="100" w:beforeAutospacing="1" w:after="100" w:afterAutospacing="1" w:line="240" w:lineRule="auto"/>
        <w:rPr>
          <w:rFonts w:ascii="Calibri" w:eastAsia="Times New Roman" w:hAnsi="Calibri" w:cs="Times New Roman"/>
          <w:b/>
          <w:sz w:val="24"/>
          <w:szCs w:val="24"/>
        </w:rPr>
      </w:pPr>
      <w:bookmarkStart w:id="0" w:name="_GoBack"/>
      <w:bookmarkEnd w:id="0"/>
      <w:r w:rsidRPr="00A746AB">
        <w:rPr>
          <w:rFonts w:ascii="Calibri" w:eastAsia="Times New Roman" w:hAnsi="Calibri" w:cs="Times New Roman"/>
          <w:b/>
          <w:sz w:val="24"/>
          <w:szCs w:val="24"/>
        </w:rPr>
        <w:lastRenderedPageBreak/>
        <w:t>PERMITTED USES</w:t>
      </w:r>
    </w:p>
    <w:p w:rsidR="00A746AB" w:rsidRPr="00A746AB" w:rsidRDefault="00A746AB" w:rsidP="00A746AB">
      <w:pPr>
        <w:spacing w:before="100" w:beforeAutospacing="1" w:after="100" w:afterAutospacing="1"/>
        <w:rPr>
          <w:rFonts w:ascii="Calibri" w:eastAsia="Times New Roman" w:hAnsi="Calibri" w:cs="Times New Roman"/>
          <w:sz w:val="24"/>
          <w:szCs w:val="24"/>
        </w:rPr>
      </w:pPr>
      <w:r w:rsidRPr="00A746AB">
        <w:rPr>
          <w:rFonts w:ascii="Calibri" w:eastAsia="Times New Roman" w:hAnsi="Calibri" w:cs="Times New Roman"/>
          <w:sz w:val="24"/>
          <w:szCs w:val="24"/>
        </w:rPr>
        <w:t>The library welcomes exhibits and displays that communicate information about civic, cultural, educational and recreational programs of likely interest to the local community. These displays may include such forms as:</w:t>
      </w:r>
    </w:p>
    <w:p w:rsidR="00A746AB" w:rsidRPr="00A746AB" w:rsidRDefault="00A746AB" w:rsidP="00A746AB">
      <w:pPr>
        <w:pStyle w:val="ListParagraph"/>
        <w:widowControl/>
        <w:numPr>
          <w:ilvl w:val="0"/>
          <w:numId w:val="5"/>
        </w:numPr>
        <w:spacing w:before="100" w:beforeAutospacing="1" w:after="100" w:afterAutospacing="1" w:line="276" w:lineRule="auto"/>
        <w:contextualSpacing/>
        <w:rPr>
          <w:rFonts w:ascii="Calibri" w:eastAsia="Times New Roman" w:hAnsi="Calibri" w:cs="Times New Roman"/>
          <w:sz w:val="24"/>
          <w:szCs w:val="24"/>
        </w:rPr>
      </w:pPr>
      <w:r w:rsidRPr="00A746AB">
        <w:rPr>
          <w:rFonts w:ascii="Calibri" w:eastAsia="Times New Roman" w:hAnsi="Calibri" w:cs="Times New Roman"/>
          <w:sz w:val="24"/>
          <w:szCs w:val="24"/>
        </w:rPr>
        <w:t>Visual arts, crafts, paintings, and drawings, sculpture, other media, and collections</w:t>
      </w:r>
    </w:p>
    <w:p w:rsidR="00A746AB" w:rsidRPr="00A746AB" w:rsidRDefault="00A746AB" w:rsidP="00A746AB">
      <w:pPr>
        <w:pStyle w:val="ListParagraph"/>
        <w:widowControl/>
        <w:numPr>
          <w:ilvl w:val="0"/>
          <w:numId w:val="5"/>
        </w:numPr>
        <w:spacing w:before="100" w:beforeAutospacing="1" w:after="100" w:afterAutospacing="1" w:line="276" w:lineRule="auto"/>
        <w:contextualSpacing/>
        <w:rPr>
          <w:rFonts w:ascii="Calibri" w:eastAsia="Times New Roman" w:hAnsi="Calibri" w:cs="Times New Roman"/>
          <w:sz w:val="24"/>
          <w:szCs w:val="24"/>
        </w:rPr>
      </w:pPr>
      <w:r w:rsidRPr="00A746AB">
        <w:rPr>
          <w:rFonts w:ascii="Calibri" w:eastAsia="Times New Roman" w:hAnsi="Calibri" w:cs="Times New Roman"/>
          <w:sz w:val="24"/>
          <w:szCs w:val="24"/>
        </w:rPr>
        <w:t>Promotion of interest in the use of books and other library resources, community affairs, organizations, activities</w:t>
      </w:r>
    </w:p>
    <w:p w:rsidR="00A746AB" w:rsidRPr="00A746AB" w:rsidRDefault="00A746AB" w:rsidP="00A746AB">
      <w:pPr>
        <w:pStyle w:val="ListParagraph"/>
        <w:widowControl/>
        <w:numPr>
          <w:ilvl w:val="0"/>
          <w:numId w:val="5"/>
        </w:numPr>
        <w:spacing w:before="100" w:beforeAutospacing="1" w:after="100" w:afterAutospacing="1" w:line="276" w:lineRule="auto"/>
        <w:contextualSpacing/>
        <w:rPr>
          <w:rFonts w:ascii="Calibri" w:eastAsia="Times New Roman" w:hAnsi="Calibri" w:cs="Times New Roman"/>
          <w:sz w:val="24"/>
          <w:szCs w:val="24"/>
        </w:rPr>
      </w:pPr>
      <w:r w:rsidRPr="00A746AB">
        <w:rPr>
          <w:rFonts w:ascii="Calibri" w:eastAsia="Times New Roman" w:hAnsi="Calibri" w:cs="Times New Roman"/>
          <w:sz w:val="24"/>
          <w:szCs w:val="24"/>
        </w:rPr>
        <w:t>Interactive displays, subject to space constraints and the library’s discretion</w:t>
      </w:r>
    </w:p>
    <w:p w:rsidR="00A746AB" w:rsidRPr="00A746AB" w:rsidRDefault="00A746AB" w:rsidP="00A746AB">
      <w:pPr>
        <w:rPr>
          <w:rFonts w:ascii="Calibri" w:hAnsi="Calibri"/>
          <w:b/>
          <w:sz w:val="24"/>
          <w:szCs w:val="24"/>
        </w:rPr>
      </w:pPr>
      <w:r w:rsidRPr="00A746AB">
        <w:rPr>
          <w:rFonts w:ascii="Calibri" w:hAnsi="Calibri"/>
          <w:b/>
          <w:sz w:val="24"/>
          <w:szCs w:val="24"/>
        </w:rPr>
        <w:t>PROHIBITED USES</w:t>
      </w:r>
    </w:p>
    <w:p w:rsidR="00A746AB" w:rsidRPr="00A746AB" w:rsidRDefault="00A746AB" w:rsidP="00A746AB">
      <w:pPr>
        <w:pStyle w:val="ListParagraph"/>
        <w:widowControl/>
        <w:numPr>
          <w:ilvl w:val="0"/>
          <w:numId w:val="6"/>
        </w:numPr>
        <w:spacing w:after="200" w:line="276" w:lineRule="auto"/>
        <w:contextualSpacing/>
        <w:rPr>
          <w:rFonts w:ascii="Calibri" w:hAnsi="Calibri"/>
          <w:sz w:val="24"/>
          <w:szCs w:val="24"/>
        </w:rPr>
      </w:pPr>
      <w:r w:rsidRPr="00A746AB">
        <w:rPr>
          <w:rFonts w:ascii="Calibri" w:hAnsi="Calibri"/>
          <w:sz w:val="24"/>
          <w:szCs w:val="24"/>
        </w:rPr>
        <w:t>Materials promoting or advertising a commercial product or service</w:t>
      </w:r>
    </w:p>
    <w:p w:rsidR="00A746AB" w:rsidRPr="00A746AB" w:rsidRDefault="00A746AB" w:rsidP="00A746AB">
      <w:pPr>
        <w:pStyle w:val="ListParagraph"/>
        <w:widowControl/>
        <w:numPr>
          <w:ilvl w:val="0"/>
          <w:numId w:val="6"/>
        </w:numPr>
        <w:spacing w:after="200" w:line="276" w:lineRule="auto"/>
        <w:contextualSpacing/>
        <w:rPr>
          <w:rFonts w:ascii="Calibri" w:hAnsi="Calibri"/>
          <w:sz w:val="24"/>
          <w:szCs w:val="24"/>
        </w:rPr>
      </w:pPr>
      <w:r w:rsidRPr="00A746AB">
        <w:rPr>
          <w:rFonts w:ascii="Calibri" w:hAnsi="Calibri"/>
          <w:sz w:val="24"/>
          <w:szCs w:val="24"/>
        </w:rPr>
        <w:t>Materials promoting or opposing candidates for office or other ballot-related issues</w:t>
      </w:r>
    </w:p>
    <w:p w:rsidR="00A746AB" w:rsidRPr="00A746AB" w:rsidRDefault="00A746AB" w:rsidP="00A746AB">
      <w:pPr>
        <w:pStyle w:val="ListParagraph"/>
        <w:widowControl/>
        <w:numPr>
          <w:ilvl w:val="0"/>
          <w:numId w:val="6"/>
        </w:numPr>
        <w:spacing w:after="200" w:line="276" w:lineRule="auto"/>
        <w:contextualSpacing/>
        <w:rPr>
          <w:rFonts w:ascii="Calibri" w:hAnsi="Calibri"/>
          <w:sz w:val="24"/>
          <w:szCs w:val="24"/>
        </w:rPr>
      </w:pPr>
      <w:r w:rsidRPr="00A746AB">
        <w:rPr>
          <w:rFonts w:ascii="Calibri" w:hAnsi="Calibri"/>
          <w:sz w:val="24"/>
          <w:szCs w:val="24"/>
        </w:rPr>
        <w:t>Material that threatens violence or intimidation of an individual or group</w:t>
      </w:r>
    </w:p>
    <w:p w:rsidR="00A746AB" w:rsidRPr="00A746AB" w:rsidRDefault="00A746AB" w:rsidP="00A746AB">
      <w:pPr>
        <w:rPr>
          <w:rFonts w:ascii="Calibri" w:hAnsi="Calibri"/>
          <w:b/>
          <w:sz w:val="24"/>
          <w:szCs w:val="24"/>
        </w:rPr>
      </w:pPr>
      <w:r w:rsidRPr="00A746AB">
        <w:rPr>
          <w:rFonts w:ascii="Calibri" w:hAnsi="Calibri"/>
          <w:b/>
          <w:sz w:val="24"/>
          <w:szCs w:val="24"/>
        </w:rPr>
        <w:t>EXHIBIT SELECTION PROCESS &amp; CRITERIA</w:t>
      </w:r>
    </w:p>
    <w:p w:rsidR="00A746AB" w:rsidRPr="00A746AB" w:rsidRDefault="00A746AB" w:rsidP="00A746AB">
      <w:pPr>
        <w:rPr>
          <w:rFonts w:ascii="Calibri" w:hAnsi="Calibri"/>
          <w:sz w:val="24"/>
          <w:szCs w:val="24"/>
        </w:rPr>
      </w:pPr>
      <w:r w:rsidRPr="00A746AB">
        <w:rPr>
          <w:rFonts w:ascii="Calibri" w:hAnsi="Calibri"/>
          <w:sz w:val="24"/>
          <w:szCs w:val="24"/>
        </w:rPr>
        <w:t xml:space="preserve">Exhibits </w:t>
      </w:r>
      <w:proofErr w:type="gramStart"/>
      <w:r w:rsidRPr="00A746AB">
        <w:rPr>
          <w:rFonts w:ascii="Calibri" w:hAnsi="Calibri"/>
          <w:sz w:val="24"/>
          <w:szCs w:val="24"/>
        </w:rPr>
        <w:t>are accepted</w:t>
      </w:r>
      <w:proofErr w:type="gramEnd"/>
      <w:r w:rsidRPr="00A746AB">
        <w:rPr>
          <w:rFonts w:ascii="Calibri" w:hAnsi="Calibri"/>
          <w:sz w:val="24"/>
          <w:szCs w:val="24"/>
        </w:rPr>
        <w:t xml:space="preserve"> at the library’s discretion only.  The library reserves the right to refuse a request from an organization or individual desiring to exhibit work at the library. The library reserves the right to refuse to allow materials that it deems to be awkward to display, take up disproportionate space, be otherwise unsuited to the space, or potentially require the library to incur expense. The library also reserves the right to reschedule, postpone, or remove an exhibit when such a display </w:t>
      </w:r>
      <w:proofErr w:type="gramStart"/>
      <w:r w:rsidRPr="00A746AB">
        <w:rPr>
          <w:rFonts w:ascii="Calibri" w:hAnsi="Calibri"/>
          <w:sz w:val="24"/>
          <w:szCs w:val="24"/>
        </w:rPr>
        <w:t>is deemed</w:t>
      </w:r>
      <w:proofErr w:type="gramEnd"/>
      <w:r w:rsidRPr="00A746AB">
        <w:rPr>
          <w:rFonts w:ascii="Calibri" w:hAnsi="Calibri"/>
          <w:sz w:val="24"/>
          <w:szCs w:val="24"/>
        </w:rPr>
        <w:t xml:space="preserve"> to interfere with library business or service. </w:t>
      </w:r>
    </w:p>
    <w:p w:rsidR="00A746AB" w:rsidRPr="00A746AB" w:rsidRDefault="00A746AB" w:rsidP="00A746AB">
      <w:pPr>
        <w:rPr>
          <w:rFonts w:ascii="Calibri" w:hAnsi="Calibri"/>
          <w:sz w:val="24"/>
          <w:szCs w:val="24"/>
        </w:rPr>
      </w:pPr>
      <w:r w:rsidRPr="00A746AB">
        <w:rPr>
          <w:rFonts w:ascii="Calibri" w:hAnsi="Calibri"/>
          <w:sz w:val="24"/>
          <w:szCs w:val="24"/>
        </w:rPr>
        <w:t xml:space="preserve">Occasionally, the library may issue an invitation to exhibit to a specific artist or organization. </w:t>
      </w:r>
    </w:p>
    <w:p w:rsidR="00A746AB" w:rsidRPr="00A746AB" w:rsidRDefault="00A746AB" w:rsidP="00A746AB">
      <w:pPr>
        <w:rPr>
          <w:rFonts w:ascii="Calibri" w:hAnsi="Calibri"/>
          <w:sz w:val="24"/>
          <w:szCs w:val="24"/>
        </w:rPr>
      </w:pPr>
      <w:r w:rsidRPr="00A746AB">
        <w:rPr>
          <w:rFonts w:ascii="Calibri" w:hAnsi="Calibri"/>
          <w:sz w:val="24"/>
          <w:szCs w:val="24"/>
        </w:rPr>
        <w:t>Selection criteria include:</w:t>
      </w:r>
    </w:p>
    <w:p w:rsidR="00A746AB" w:rsidRPr="00A746AB" w:rsidRDefault="00A746AB" w:rsidP="00A746AB">
      <w:pPr>
        <w:pStyle w:val="ListParagraph"/>
        <w:widowControl/>
        <w:numPr>
          <w:ilvl w:val="0"/>
          <w:numId w:val="7"/>
        </w:numPr>
        <w:spacing w:after="200" w:line="276" w:lineRule="auto"/>
        <w:contextualSpacing/>
        <w:rPr>
          <w:rFonts w:ascii="Calibri" w:hAnsi="Calibri"/>
          <w:sz w:val="24"/>
          <w:szCs w:val="24"/>
        </w:rPr>
      </w:pPr>
      <w:r w:rsidRPr="00A746AB">
        <w:rPr>
          <w:rFonts w:ascii="Calibri" w:hAnsi="Calibri"/>
          <w:sz w:val="24"/>
          <w:szCs w:val="24"/>
        </w:rPr>
        <w:t>Importance/relevance to community</w:t>
      </w:r>
    </w:p>
    <w:p w:rsidR="00A746AB" w:rsidRPr="00A746AB" w:rsidRDefault="00A746AB" w:rsidP="00A746AB">
      <w:pPr>
        <w:pStyle w:val="ListParagraph"/>
        <w:widowControl/>
        <w:numPr>
          <w:ilvl w:val="0"/>
          <w:numId w:val="7"/>
        </w:numPr>
        <w:spacing w:after="200" w:line="276" w:lineRule="auto"/>
        <w:contextualSpacing/>
        <w:rPr>
          <w:rFonts w:ascii="Calibri" w:hAnsi="Calibri"/>
          <w:sz w:val="24"/>
          <w:szCs w:val="24"/>
        </w:rPr>
      </w:pPr>
      <w:r w:rsidRPr="00A746AB">
        <w:rPr>
          <w:rFonts w:ascii="Calibri" w:hAnsi="Calibri"/>
          <w:sz w:val="24"/>
          <w:szCs w:val="24"/>
        </w:rPr>
        <w:t>Reputation of artist or collection</w:t>
      </w:r>
    </w:p>
    <w:p w:rsidR="00A746AB" w:rsidRPr="00A746AB" w:rsidRDefault="00A746AB" w:rsidP="00A746AB">
      <w:pPr>
        <w:pStyle w:val="ListParagraph"/>
        <w:widowControl/>
        <w:numPr>
          <w:ilvl w:val="0"/>
          <w:numId w:val="7"/>
        </w:numPr>
        <w:spacing w:after="200" w:line="276" w:lineRule="auto"/>
        <w:contextualSpacing/>
        <w:rPr>
          <w:rFonts w:ascii="Calibri" w:hAnsi="Calibri"/>
          <w:sz w:val="24"/>
          <w:szCs w:val="24"/>
        </w:rPr>
      </w:pPr>
      <w:r w:rsidRPr="00A746AB">
        <w:rPr>
          <w:rFonts w:ascii="Calibri" w:hAnsi="Calibri"/>
          <w:sz w:val="24"/>
          <w:szCs w:val="24"/>
        </w:rPr>
        <w:t>Variety of media and styles</w:t>
      </w:r>
    </w:p>
    <w:p w:rsidR="00A746AB" w:rsidRPr="00A746AB" w:rsidRDefault="00A746AB" w:rsidP="00A746AB">
      <w:pPr>
        <w:pStyle w:val="ListParagraph"/>
        <w:widowControl/>
        <w:numPr>
          <w:ilvl w:val="0"/>
          <w:numId w:val="7"/>
        </w:numPr>
        <w:spacing w:after="200" w:line="276" w:lineRule="auto"/>
        <w:contextualSpacing/>
        <w:rPr>
          <w:rFonts w:ascii="Calibri" w:hAnsi="Calibri"/>
          <w:sz w:val="24"/>
          <w:szCs w:val="24"/>
        </w:rPr>
      </w:pPr>
      <w:r w:rsidRPr="00A746AB">
        <w:rPr>
          <w:rFonts w:ascii="Calibri" w:hAnsi="Calibri"/>
          <w:sz w:val="24"/>
          <w:szCs w:val="24"/>
        </w:rPr>
        <w:t>Aesthetic quality and technical quality</w:t>
      </w:r>
    </w:p>
    <w:p w:rsidR="00A746AB" w:rsidRPr="00A746AB" w:rsidRDefault="00A746AB" w:rsidP="00A746AB">
      <w:pPr>
        <w:pStyle w:val="ListParagraph"/>
        <w:widowControl/>
        <w:numPr>
          <w:ilvl w:val="0"/>
          <w:numId w:val="7"/>
        </w:numPr>
        <w:spacing w:after="200" w:line="276" w:lineRule="auto"/>
        <w:contextualSpacing/>
        <w:rPr>
          <w:rFonts w:ascii="Calibri" w:hAnsi="Calibri"/>
          <w:sz w:val="24"/>
          <w:szCs w:val="24"/>
        </w:rPr>
      </w:pPr>
      <w:r w:rsidRPr="00A746AB">
        <w:rPr>
          <w:rFonts w:ascii="Calibri" w:hAnsi="Calibri"/>
          <w:sz w:val="24"/>
          <w:szCs w:val="24"/>
        </w:rPr>
        <w:t>Condition, size, weight or fragility of the objects proposed</w:t>
      </w:r>
    </w:p>
    <w:p w:rsidR="00A746AB" w:rsidRPr="00A746AB" w:rsidRDefault="00A746AB" w:rsidP="00A746AB">
      <w:pPr>
        <w:pStyle w:val="ListParagraph"/>
        <w:widowControl/>
        <w:numPr>
          <w:ilvl w:val="0"/>
          <w:numId w:val="7"/>
        </w:numPr>
        <w:spacing w:after="200" w:line="276" w:lineRule="auto"/>
        <w:contextualSpacing/>
        <w:rPr>
          <w:rFonts w:ascii="Calibri" w:hAnsi="Calibri"/>
          <w:sz w:val="24"/>
          <w:szCs w:val="24"/>
        </w:rPr>
      </w:pPr>
      <w:r w:rsidRPr="00A746AB">
        <w:rPr>
          <w:rFonts w:ascii="Calibri" w:hAnsi="Calibri"/>
          <w:sz w:val="24"/>
          <w:szCs w:val="24"/>
        </w:rPr>
        <w:t>Cost to produce exhibit and the extent of the library’s liability</w:t>
      </w:r>
    </w:p>
    <w:p w:rsidR="00A746AB" w:rsidRPr="00A746AB" w:rsidRDefault="00A746AB" w:rsidP="00A746AB">
      <w:pPr>
        <w:pStyle w:val="ListParagraph"/>
        <w:widowControl/>
        <w:numPr>
          <w:ilvl w:val="0"/>
          <w:numId w:val="7"/>
        </w:numPr>
        <w:spacing w:after="200" w:line="276" w:lineRule="auto"/>
        <w:contextualSpacing/>
        <w:rPr>
          <w:rFonts w:ascii="Calibri" w:hAnsi="Calibri"/>
          <w:sz w:val="24"/>
          <w:szCs w:val="24"/>
        </w:rPr>
      </w:pPr>
      <w:r w:rsidRPr="00A746AB">
        <w:rPr>
          <w:rFonts w:ascii="Calibri" w:hAnsi="Calibri"/>
          <w:sz w:val="24"/>
          <w:szCs w:val="24"/>
        </w:rPr>
        <w:t xml:space="preserve">Other practical considerations </w:t>
      </w:r>
    </w:p>
    <w:p w:rsidR="00A746AB" w:rsidRPr="00A746AB" w:rsidRDefault="00A746AB" w:rsidP="00A746AB">
      <w:pPr>
        <w:rPr>
          <w:rFonts w:ascii="Calibri" w:hAnsi="Calibri"/>
          <w:b/>
          <w:sz w:val="24"/>
          <w:szCs w:val="24"/>
        </w:rPr>
      </w:pPr>
      <w:r w:rsidRPr="00A746AB">
        <w:rPr>
          <w:rFonts w:ascii="Calibri" w:hAnsi="Calibri"/>
          <w:b/>
          <w:sz w:val="24"/>
          <w:szCs w:val="24"/>
        </w:rPr>
        <w:t>FEES</w:t>
      </w:r>
    </w:p>
    <w:p w:rsidR="00A746AB" w:rsidRPr="00A746AB" w:rsidRDefault="00A746AB" w:rsidP="00A746AB">
      <w:pPr>
        <w:rPr>
          <w:rFonts w:ascii="Calibri" w:hAnsi="Calibri"/>
          <w:sz w:val="24"/>
          <w:szCs w:val="24"/>
        </w:rPr>
      </w:pPr>
      <w:r w:rsidRPr="00A746AB">
        <w:rPr>
          <w:rFonts w:ascii="Calibri" w:hAnsi="Calibri"/>
          <w:sz w:val="24"/>
          <w:szCs w:val="24"/>
        </w:rPr>
        <w:t xml:space="preserve">There are no fees to exhibit materials at the library. The library may assess fees to an exhibitor who neglects to retrieve all materials from library premises within the period stated in the original agreement.  The library will attempt to contact the owner twice within ten days of the exhibit close.  If the owner does not respond after ten days, the items will become property of the library to dispose of as it sees fit.  In doing so, the library will follow its established practices for disposal of surplus property.  </w:t>
      </w:r>
    </w:p>
    <w:p w:rsidR="00A746AB" w:rsidRPr="00A746AB" w:rsidRDefault="00A746AB" w:rsidP="00A746AB">
      <w:pPr>
        <w:rPr>
          <w:rFonts w:ascii="Calibri" w:hAnsi="Calibri"/>
          <w:b/>
          <w:sz w:val="24"/>
          <w:szCs w:val="24"/>
        </w:rPr>
      </w:pPr>
      <w:r w:rsidRPr="00A746AB">
        <w:rPr>
          <w:rFonts w:ascii="Calibri" w:hAnsi="Calibri"/>
          <w:b/>
          <w:sz w:val="24"/>
          <w:szCs w:val="24"/>
        </w:rPr>
        <w:lastRenderedPageBreak/>
        <w:t>EXHIBIT SALES ONSITE</w:t>
      </w:r>
    </w:p>
    <w:p w:rsidR="00A746AB" w:rsidRPr="00A746AB" w:rsidRDefault="00A746AB" w:rsidP="00A746AB">
      <w:pPr>
        <w:rPr>
          <w:rFonts w:ascii="Calibri" w:hAnsi="Calibri"/>
          <w:sz w:val="24"/>
          <w:szCs w:val="24"/>
        </w:rPr>
      </w:pPr>
      <w:r w:rsidRPr="00A746AB">
        <w:rPr>
          <w:rFonts w:ascii="Calibri" w:hAnsi="Calibri"/>
          <w:sz w:val="24"/>
          <w:szCs w:val="24"/>
        </w:rPr>
        <w:t>Exhibitors desiring to sell exhibited items must secure permission and make special arrangements with the library prior to the exhibit’s installation. The library does not handle any exhibitor sales transactions, oversee or secure exhibitor’s cashbox, or keep exhibitor’s cash overnight. All transactions of this nature are to be handled directly by the artist (or his/her designated representative) and the artist’s client. The library will neither handle nor arbitrate any disputes relative to these transactions.</w:t>
      </w:r>
    </w:p>
    <w:p w:rsidR="00A746AB" w:rsidRPr="00A746AB" w:rsidRDefault="00A746AB" w:rsidP="00A746AB">
      <w:pPr>
        <w:rPr>
          <w:rFonts w:ascii="Calibri" w:hAnsi="Calibri"/>
          <w:b/>
          <w:sz w:val="24"/>
          <w:szCs w:val="24"/>
        </w:rPr>
      </w:pPr>
      <w:r w:rsidRPr="00A746AB">
        <w:rPr>
          <w:rFonts w:ascii="Calibri" w:hAnsi="Calibri"/>
          <w:b/>
          <w:sz w:val="24"/>
          <w:szCs w:val="24"/>
        </w:rPr>
        <w:t>DISCLAIMERS</w:t>
      </w:r>
    </w:p>
    <w:p w:rsidR="00A746AB" w:rsidRPr="00A746AB" w:rsidRDefault="00A746AB" w:rsidP="00A746AB">
      <w:pPr>
        <w:rPr>
          <w:rFonts w:ascii="Calibri" w:hAnsi="Calibri"/>
          <w:sz w:val="24"/>
          <w:szCs w:val="24"/>
        </w:rPr>
      </w:pPr>
      <w:r w:rsidRPr="00A746AB">
        <w:rPr>
          <w:rFonts w:ascii="Calibri" w:hAnsi="Calibri"/>
          <w:sz w:val="24"/>
          <w:szCs w:val="24"/>
        </w:rPr>
        <w:t xml:space="preserve">The library assumes no responsibility for </w:t>
      </w:r>
      <w:proofErr w:type="gramStart"/>
      <w:r w:rsidRPr="00A746AB">
        <w:rPr>
          <w:rFonts w:ascii="Calibri" w:hAnsi="Calibri"/>
          <w:sz w:val="24"/>
          <w:szCs w:val="24"/>
        </w:rPr>
        <w:t>materials,</w:t>
      </w:r>
      <w:proofErr w:type="gramEnd"/>
      <w:r w:rsidRPr="00A746AB">
        <w:rPr>
          <w:rFonts w:ascii="Calibri" w:hAnsi="Calibri"/>
          <w:sz w:val="24"/>
          <w:szCs w:val="24"/>
        </w:rPr>
        <w:t xml:space="preserve"> equipment or any other article left by the organization, group or individual in the library and will not be liable for loss, theft or damage thereto.</w:t>
      </w:r>
    </w:p>
    <w:p w:rsidR="00A746AB" w:rsidRPr="00A746AB" w:rsidRDefault="00A746AB" w:rsidP="00A746AB">
      <w:pPr>
        <w:rPr>
          <w:rFonts w:ascii="Calibri" w:hAnsi="Calibri"/>
          <w:sz w:val="24"/>
          <w:szCs w:val="24"/>
        </w:rPr>
      </w:pPr>
      <w:r w:rsidRPr="00A746AB">
        <w:rPr>
          <w:rFonts w:ascii="Calibri" w:hAnsi="Calibri"/>
          <w:sz w:val="24"/>
          <w:szCs w:val="24"/>
        </w:rPr>
        <w:t xml:space="preserve">Exhibitors using library exhibit cases or exhibit space assume responsibility for any damage they incur to library property. </w:t>
      </w:r>
    </w:p>
    <w:p w:rsidR="00A746AB" w:rsidRDefault="00A746AB" w:rsidP="00A746AB">
      <w:pPr>
        <w:rPr>
          <w:rFonts w:ascii="Calibri" w:hAnsi="Calibri"/>
          <w:sz w:val="24"/>
          <w:szCs w:val="24"/>
        </w:rPr>
      </w:pPr>
    </w:p>
    <w:p w:rsidR="00A746AB" w:rsidRDefault="00A746AB" w:rsidP="00A746AB">
      <w:pPr>
        <w:rPr>
          <w:rFonts w:ascii="Calibri" w:hAnsi="Calibri"/>
          <w:sz w:val="24"/>
          <w:szCs w:val="24"/>
        </w:rPr>
      </w:pPr>
    </w:p>
    <w:p w:rsidR="00A746AB" w:rsidRDefault="00A746AB" w:rsidP="00A746AB">
      <w:pPr>
        <w:rPr>
          <w:rFonts w:ascii="Calibri" w:hAnsi="Calibri"/>
          <w:sz w:val="24"/>
          <w:szCs w:val="24"/>
        </w:rPr>
      </w:pPr>
    </w:p>
    <w:p w:rsidR="00A746AB" w:rsidRDefault="00A746AB" w:rsidP="00A746AB">
      <w:pPr>
        <w:rPr>
          <w:rFonts w:ascii="Calibri" w:hAnsi="Calibri"/>
          <w:sz w:val="24"/>
          <w:szCs w:val="24"/>
        </w:rPr>
      </w:pPr>
    </w:p>
    <w:p w:rsidR="00A746AB" w:rsidRDefault="00A746AB" w:rsidP="00A746AB">
      <w:pPr>
        <w:rPr>
          <w:rFonts w:ascii="Calibri" w:hAnsi="Calibri"/>
          <w:sz w:val="24"/>
          <w:szCs w:val="24"/>
        </w:rPr>
      </w:pPr>
    </w:p>
    <w:p w:rsidR="00A746AB" w:rsidRDefault="00A746AB" w:rsidP="00A746AB">
      <w:pPr>
        <w:rPr>
          <w:rFonts w:ascii="Calibri" w:hAnsi="Calibri"/>
          <w:sz w:val="24"/>
          <w:szCs w:val="24"/>
        </w:rPr>
      </w:pPr>
    </w:p>
    <w:p w:rsidR="00A746AB" w:rsidRDefault="00A746AB" w:rsidP="00A746AB">
      <w:pPr>
        <w:rPr>
          <w:rFonts w:ascii="Calibri" w:hAnsi="Calibri"/>
          <w:sz w:val="24"/>
          <w:szCs w:val="24"/>
        </w:rPr>
      </w:pPr>
    </w:p>
    <w:p w:rsidR="00A746AB" w:rsidRDefault="00A746AB" w:rsidP="00A746AB">
      <w:pPr>
        <w:rPr>
          <w:rFonts w:ascii="Calibri" w:hAnsi="Calibri"/>
          <w:sz w:val="24"/>
          <w:szCs w:val="24"/>
        </w:rPr>
      </w:pPr>
    </w:p>
    <w:p w:rsidR="00A746AB" w:rsidRDefault="00A746AB" w:rsidP="00A746AB">
      <w:pPr>
        <w:rPr>
          <w:rFonts w:ascii="Calibri" w:hAnsi="Calibri"/>
          <w:sz w:val="24"/>
          <w:szCs w:val="24"/>
        </w:rPr>
      </w:pPr>
    </w:p>
    <w:p w:rsidR="00A746AB" w:rsidRDefault="00A746AB" w:rsidP="00A746AB">
      <w:pPr>
        <w:rPr>
          <w:rFonts w:ascii="Calibri" w:hAnsi="Calibri"/>
          <w:sz w:val="24"/>
          <w:szCs w:val="24"/>
        </w:rPr>
      </w:pPr>
    </w:p>
    <w:p w:rsidR="00A746AB" w:rsidRDefault="00A746AB" w:rsidP="00A746AB">
      <w:pPr>
        <w:rPr>
          <w:rFonts w:ascii="Calibri" w:hAnsi="Calibri"/>
          <w:sz w:val="24"/>
          <w:szCs w:val="24"/>
        </w:rPr>
      </w:pPr>
    </w:p>
    <w:p w:rsidR="00A746AB" w:rsidRDefault="00A746AB" w:rsidP="00A746AB">
      <w:pPr>
        <w:rPr>
          <w:rFonts w:ascii="Calibri" w:hAnsi="Calibri"/>
          <w:sz w:val="24"/>
          <w:szCs w:val="24"/>
        </w:rPr>
      </w:pPr>
    </w:p>
    <w:p w:rsidR="00A746AB" w:rsidRDefault="00A746AB" w:rsidP="00A746AB">
      <w:pPr>
        <w:rPr>
          <w:rFonts w:ascii="Calibri" w:hAnsi="Calibri"/>
          <w:sz w:val="24"/>
          <w:szCs w:val="24"/>
        </w:rPr>
      </w:pPr>
    </w:p>
    <w:p w:rsidR="00A746AB" w:rsidRPr="00A746AB" w:rsidRDefault="00A746AB" w:rsidP="00A746AB">
      <w:pPr>
        <w:rPr>
          <w:rFonts w:ascii="Calibri" w:hAnsi="Calibri"/>
          <w:sz w:val="24"/>
          <w:szCs w:val="24"/>
        </w:rPr>
      </w:pPr>
      <w:r w:rsidRPr="00A746AB">
        <w:rPr>
          <w:rFonts w:ascii="Calibri" w:hAnsi="Calibri"/>
          <w:sz w:val="24"/>
          <w:szCs w:val="24"/>
        </w:rPr>
        <w:t xml:space="preserve">Approved by the Library Board of Directors on </w:t>
      </w:r>
      <w:r w:rsidR="00EF3B6A">
        <w:rPr>
          <w:rFonts w:ascii="Calibri" w:hAnsi="Calibri"/>
          <w:sz w:val="24"/>
          <w:szCs w:val="24"/>
        </w:rPr>
        <w:t>August 29, 2018</w:t>
      </w:r>
    </w:p>
    <w:p w:rsidR="00A746AB" w:rsidRPr="00A746AB" w:rsidRDefault="00A746AB" w:rsidP="00A746AB">
      <w:pPr>
        <w:rPr>
          <w:rFonts w:ascii="Calibri" w:hAnsi="Calibri"/>
          <w:b/>
          <w:sz w:val="24"/>
          <w:szCs w:val="24"/>
        </w:rPr>
      </w:pPr>
    </w:p>
    <w:p w:rsidR="00A746AB" w:rsidRPr="00A746AB" w:rsidRDefault="00A746AB" w:rsidP="00A746AB">
      <w:pPr>
        <w:ind w:left="1440"/>
        <w:rPr>
          <w:rFonts w:ascii="Calibri" w:hAnsi="Calibri"/>
          <w:b/>
          <w:sz w:val="24"/>
          <w:szCs w:val="24"/>
        </w:rPr>
      </w:pPr>
    </w:p>
    <w:p w:rsidR="00A40450" w:rsidRPr="00A746AB" w:rsidRDefault="00A40450" w:rsidP="00A40450">
      <w:pPr>
        <w:spacing w:after="0"/>
        <w:rPr>
          <w:rFonts w:ascii="Calibri" w:hAnsi="Calibri"/>
          <w:b/>
          <w:sz w:val="24"/>
          <w:szCs w:val="24"/>
          <w:u w:val="single"/>
        </w:rPr>
      </w:pPr>
    </w:p>
    <w:p w:rsidR="00A40450" w:rsidRPr="00A746AB" w:rsidRDefault="00A40450" w:rsidP="00A40450">
      <w:pPr>
        <w:spacing w:after="0"/>
        <w:contextualSpacing/>
        <w:jc w:val="both"/>
        <w:rPr>
          <w:rFonts w:ascii="Calibri" w:hAnsi="Calibri"/>
          <w:sz w:val="24"/>
          <w:szCs w:val="24"/>
        </w:rPr>
      </w:pPr>
    </w:p>
    <w:p w:rsidR="00A40450" w:rsidRPr="00A746AB" w:rsidRDefault="00A40450" w:rsidP="00A40450">
      <w:pPr>
        <w:spacing w:after="0"/>
        <w:contextualSpacing/>
        <w:jc w:val="both"/>
        <w:rPr>
          <w:rFonts w:ascii="Calibri" w:hAnsi="Calibri"/>
          <w:sz w:val="24"/>
          <w:szCs w:val="24"/>
        </w:rPr>
      </w:pPr>
    </w:p>
    <w:p w:rsidR="00A40450" w:rsidRPr="00A746AB" w:rsidRDefault="00A40450" w:rsidP="00A40450">
      <w:pPr>
        <w:spacing w:after="0"/>
        <w:contextualSpacing/>
        <w:jc w:val="both"/>
        <w:rPr>
          <w:rFonts w:ascii="Calibri" w:hAnsi="Calibri"/>
          <w:sz w:val="24"/>
          <w:szCs w:val="24"/>
        </w:rPr>
      </w:pPr>
    </w:p>
    <w:sectPr w:rsidR="00A40450" w:rsidRPr="00A746AB" w:rsidSect="00A40450">
      <w:headerReference w:type="default" r:id="rId12"/>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24CB" w:rsidRDefault="00A746AB">
      <w:pPr>
        <w:spacing w:after="0" w:line="240" w:lineRule="auto"/>
      </w:pPr>
      <w:r>
        <w:separator/>
      </w:r>
    </w:p>
  </w:endnote>
  <w:endnote w:type="continuationSeparator" w:id="0">
    <w:p w:rsidR="000524CB" w:rsidRDefault="00A746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24CB" w:rsidRDefault="00A746AB">
      <w:pPr>
        <w:spacing w:after="0" w:line="240" w:lineRule="auto"/>
      </w:pPr>
      <w:r>
        <w:separator/>
      </w:r>
    </w:p>
  </w:footnote>
  <w:footnote w:type="continuationSeparator" w:id="0">
    <w:p w:rsidR="000524CB" w:rsidRDefault="00A746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5B2" w:rsidRDefault="00455F12">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150ECC"/>
    <w:multiLevelType w:val="hybridMultilevel"/>
    <w:tmpl w:val="A6BC1680"/>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285BE1"/>
    <w:multiLevelType w:val="hybridMultilevel"/>
    <w:tmpl w:val="052E2AD0"/>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774899"/>
    <w:multiLevelType w:val="hybridMultilevel"/>
    <w:tmpl w:val="BB403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B20383"/>
    <w:multiLevelType w:val="multilevel"/>
    <w:tmpl w:val="CBFAB426"/>
    <w:lvl w:ilvl="0">
      <w:start w:val="1"/>
      <w:numFmt w:val="decimal"/>
      <w:lvlText w:val="%1"/>
      <w:lvlJc w:val="left"/>
      <w:pPr>
        <w:ind w:left="1021" w:hanging="721"/>
      </w:pPr>
      <w:rPr>
        <w:rFonts w:hint="default"/>
      </w:rPr>
    </w:lvl>
    <w:lvl w:ilvl="1">
      <w:start w:val="5"/>
      <w:numFmt w:val="decimal"/>
      <w:lvlText w:val="%1.%2"/>
      <w:lvlJc w:val="left"/>
      <w:pPr>
        <w:ind w:left="1021" w:hanging="721"/>
      </w:pPr>
      <w:rPr>
        <w:rFonts w:ascii="Times New Roman" w:eastAsia="Times New Roman" w:hAnsi="Times New Roman" w:hint="default"/>
        <w:b/>
        <w:bCs/>
        <w:sz w:val="24"/>
        <w:szCs w:val="24"/>
      </w:rPr>
    </w:lvl>
    <w:lvl w:ilvl="2">
      <w:start w:val="1"/>
      <w:numFmt w:val="decimal"/>
      <w:lvlText w:val="%1.%2.%3"/>
      <w:lvlJc w:val="left"/>
      <w:pPr>
        <w:ind w:left="1021" w:hanging="721"/>
      </w:pPr>
      <w:rPr>
        <w:rFonts w:ascii="Times New Roman" w:eastAsia="Times New Roman" w:hAnsi="Times New Roman" w:hint="default"/>
        <w:b/>
        <w:bCs/>
        <w:sz w:val="24"/>
        <w:szCs w:val="24"/>
      </w:rPr>
    </w:lvl>
    <w:lvl w:ilvl="3">
      <w:start w:val="1"/>
      <w:numFmt w:val="bullet"/>
      <w:lvlText w:val="•"/>
      <w:lvlJc w:val="left"/>
      <w:pPr>
        <w:ind w:left="3648" w:hanging="721"/>
      </w:pPr>
      <w:rPr>
        <w:rFonts w:hint="default"/>
      </w:rPr>
    </w:lvl>
    <w:lvl w:ilvl="4">
      <w:start w:val="1"/>
      <w:numFmt w:val="bullet"/>
      <w:lvlText w:val="•"/>
      <w:lvlJc w:val="left"/>
      <w:pPr>
        <w:ind w:left="4524" w:hanging="721"/>
      </w:pPr>
      <w:rPr>
        <w:rFonts w:hint="default"/>
      </w:rPr>
    </w:lvl>
    <w:lvl w:ilvl="5">
      <w:start w:val="1"/>
      <w:numFmt w:val="bullet"/>
      <w:lvlText w:val="•"/>
      <w:lvlJc w:val="left"/>
      <w:pPr>
        <w:ind w:left="5400" w:hanging="721"/>
      </w:pPr>
      <w:rPr>
        <w:rFonts w:hint="default"/>
      </w:rPr>
    </w:lvl>
    <w:lvl w:ilvl="6">
      <w:start w:val="1"/>
      <w:numFmt w:val="bullet"/>
      <w:lvlText w:val="•"/>
      <w:lvlJc w:val="left"/>
      <w:pPr>
        <w:ind w:left="6276" w:hanging="721"/>
      </w:pPr>
      <w:rPr>
        <w:rFonts w:hint="default"/>
      </w:rPr>
    </w:lvl>
    <w:lvl w:ilvl="7">
      <w:start w:val="1"/>
      <w:numFmt w:val="bullet"/>
      <w:lvlText w:val="•"/>
      <w:lvlJc w:val="left"/>
      <w:pPr>
        <w:ind w:left="7152" w:hanging="721"/>
      </w:pPr>
      <w:rPr>
        <w:rFonts w:hint="default"/>
      </w:rPr>
    </w:lvl>
    <w:lvl w:ilvl="8">
      <w:start w:val="1"/>
      <w:numFmt w:val="bullet"/>
      <w:lvlText w:val="•"/>
      <w:lvlJc w:val="left"/>
      <w:pPr>
        <w:ind w:left="8028" w:hanging="721"/>
      </w:pPr>
      <w:rPr>
        <w:rFonts w:hint="default"/>
      </w:rPr>
    </w:lvl>
  </w:abstractNum>
  <w:abstractNum w:abstractNumId="4" w15:restartNumberingAfterBreak="0">
    <w:nsid w:val="5DD86CA5"/>
    <w:multiLevelType w:val="hybridMultilevel"/>
    <w:tmpl w:val="77765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8B249C"/>
    <w:multiLevelType w:val="multilevel"/>
    <w:tmpl w:val="CBFAB426"/>
    <w:lvl w:ilvl="0">
      <w:start w:val="1"/>
      <w:numFmt w:val="decimal"/>
      <w:lvlText w:val="%1"/>
      <w:lvlJc w:val="left"/>
      <w:pPr>
        <w:ind w:left="1021" w:hanging="721"/>
      </w:pPr>
      <w:rPr>
        <w:rFonts w:hint="default"/>
      </w:rPr>
    </w:lvl>
    <w:lvl w:ilvl="1">
      <w:start w:val="5"/>
      <w:numFmt w:val="decimal"/>
      <w:lvlText w:val="%1.%2"/>
      <w:lvlJc w:val="left"/>
      <w:pPr>
        <w:ind w:left="1021" w:hanging="721"/>
      </w:pPr>
      <w:rPr>
        <w:rFonts w:ascii="Times New Roman" w:eastAsia="Times New Roman" w:hAnsi="Times New Roman" w:hint="default"/>
        <w:b/>
        <w:bCs/>
        <w:sz w:val="24"/>
        <w:szCs w:val="24"/>
      </w:rPr>
    </w:lvl>
    <w:lvl w:ilvl="2">
      <w:start w:val="1"/>
      <w:numFmt w:val="decimal"/>
      <w:lvlText w:val="%1.%2.%3"/>
      <w:lvlJc w:val="left"/>
      <w:pPr>
        <w:ind w:left="1021" w:hanging="721"/>
      </w:pPr>
      <w:rPr>
        <w:rFonts w:ascii="Times New Roman" w:eastAsia="Times New Roman" w:hAnsi="Times New Roman" w:hint="default"/>
        <w:b/>
        <w:bCs/>
        <w:sz w:val="24"/>
        <w:szCs w:val="24"/>
      </w:rPr>
    </w:lvl>
    <w:lvl w:ilvl="3">
      <w:start w:val="1"/>
      <w:numFmt w:val="bullet"/>
      <w:lvlText w:val="•"/>
      <w:lvlJc w:val="left"/>
      <w:pPr>
        <w:ind w:left="3648" w:hanging="721"/>
      </w:pPr>
      <w:rPr>
        <w:rFonts w:hint="default"/>
      </w:rPr>
    </w:lvl>
    <w:lvl w:ilvl="4">
      <w:start w:val="1"/>
      <w:numFmt w:val="bullet"/>
      <w:lvlText w:val="•"/>
      <w:lvlJc w:val="left"/>
      <w:pPr>
        <w:ind w:left="4524" w:hanging="721"/>
      </w:pPr>
      <w:rPr>
        <w:rFonts w:hint="default"/>
      </w:rPr>
    </w:lvl>
    <w:lvl w:ilvl="5">
      <w:start w:val="1"/>
      <w:numFmt w:val="bullet"/>
      <w:lvlText w:val="•"/>
      <w:lvlJc w:val="left"/>
      <w:pPr>
        <w:ind w:left="5400" w:hanging="721"/>
      </w:pPr>
      <w:rPr>
        <w:rFonts w:hint="default"/>
      </w:rPr>
    </w:lvl>
    <w:lvl w:ilvl="6">
      <w:start w:val="1"/>
      <w:numFmt w:val="bullet"/>
      <w:lvlText w:val="•"/>
      <w:lvlJc w:val="left"/>
      <w:pPr>
        <w:ind w:left="6276" w:hanging="721"/>
      </w:pPr>
      <w:rPr>
        <w:rFonts w:hint="default"/>
      </w:rPr>
    </w:lvl>
    <w:lvl w:ilvl="7">
      <w:start w:val="1"/>
      <w:numFmt w:val="bullet"/>
      <w:lvlText w:val="•"/>
      <w:lvlJc w:val="left"/>
      <w:pPr>
        <w:ind w:left="7152" w:hanging="721"/>
      </w:pPr>
      <w:rPr>
        <w:rFonts w:hint="default"/>
      </w:rPr>
    </w:lvl>
    <w:lvl w:ilvl="8">
      <w:start w:val="1"/>
      <w:numFmt w:val="bullet"/>
      <w:lvlText w:val="•"/>
      <w:lvlJc w:val="left"/>
      <w:pPr>
        <w:ind w:left="8028" w:hanging="721"/>
      </w:pPr>
      <w:rPr>
        <w:rFonts w:hint="default"/>
      </w:rPr>
    </w:lvl>
  </w:abstractNum>
  <w:abstractNum w:abstractNumId="6" w15:restartNumberingAfterBreak="0">
    <w:nsid w:val="7A380FBD"/>
    <w:multiLevelType w:val="multilevel"/>
    <w:tmpl w:val="B3E85396"/>
    <w:lvl w:ilvl="0">
      <w:start w:val="1"/>
      <w:numFmt w:val="decimal"/>
      <w:lvlText w:val="%1"/>
      <w:lvlJc w:val="left"/>
      <w:pPr>
        <w:ind w:left="1021" w:hanging="721"/>
      </w:pPr>
      <w:rPr>
        <w:rFonts w:hint="default"/>
      </w:rPr>
    </w:lvl>
    <w:lvl w:ilvl="1">
      <w:start w:val="1"/>
      <w:numFmt w:val="decimal"/>
      <w:lvlText w:val="%1.%2"/>
      <w:lvlJc w:val="left"/>
      <w:pPr>
        <w:ind w:left="1021" w:hanging="721"/>
      </w:pPr>
      <w:rPr>
        <w:rFonts w:ascii="Times New Roman" w:eastAsia="Times New Roman" w:hAnsi="Times New Roman" w:hint="default"/>
        <w:b/>
        <w:bCs/>
        <w:sz w:val="24"/>
        <w:szCs w:val="24"/>
      </w:rPr>
    </w:lvl>
    <w:lvl w:ilvl="2">
      <w:start w:val="1"/>
      <w:numFmt w:val="decimal"/>
      <w:lvlText w:val="%1.%2.%3"/>
      <w:lvlJc w:val="left"/>
      <w:pPr>
        <w:ind w:left="1021" w:hanging="721"/>
      </w:pPr>
      <w:rPr>
        <w:rFonts w:ascii="Times New Roman" w:eastAsia="Times New Roman" w:hAnsi="Times New Roman" w:hint="default"/>
        <w:b/>
        <w:bCs/>
        <w:sz w:val="24"/>
        <w:szCs w:val="24"/>
      </w:rPr>
    </w:lvl>
    <w:lvl w:ilvl="3">
      <w:start w:val="1"/>
      <w:numFmt w:val="bullet"/>
      <w:lvlText w:val="•"/>
      <w:lvlJc w:val="left"/>
      <w:pPr>
        <w:ind w:left="3642" w:hanging="721"/>
      </w:pPr>
      <w:rPr>
        <w:rFonts w:hint="default"/>
      </w:rPr>
    </w:lvl>
    <w:lvl w:ilvl="4">
      <w:start w:val="1"/>
      <w:numFmt w:val="bullet"/>
      <w:lvlText w:val="•"/>
      <w:lvlJc w:val="left"/>
      <w:pPr>
        <w:ind w:left="4516" w:hanging="721"/>
      </w:pPr>
      <w:rPr>
        <w:rFonts w:hint="default"/>
      </w:rPr>
    </w:lvl>
    <w:lvl w:ilvl="5">
      <w:start w:val="1"/>
      <w:numFmt w:val="bullet"/>
      <w:lvlText w:val="•"/>
      <w:lvlJc w:val="left"/>
      <w:pPr>
        <w:ind w:left="5390" w:hanging="721"/>
      </w:pPr>
      <w:rPr>
        <w:rFonts w:hint="default"/>
      </w:rPr>
    </w:lvl>
    <w:lvl w:ilvl="6">
      <w:start w:val="1"/>
      <w:numFmt w:val="bullet"/>
      <w:lvlText w:val="•"/>
      <w:lvlJc w:val="left"/>
      <w:pPr>
        <w:ind w:left="6264" w:hanging="721"/>
      </w:pPr>
      <w:rPr>
        <w:rFonts w:hint="default"/>
      </w:rPr>
    </w:lvl>
    <w:lvl w:ilvl="7">
      <w:start w:val="1"/>
      <w:numFmt w:val="bullet"/>
      <w:lvlText w:val="•"/>
      <w:lvlJc w:val="left"/>
      <w:pPr>
        <w:ind w:left="7138" w:hanging="721"/>
      </w:pPr>
      <w:rPr>
        <w:rFonts w:hint="default"/>
      </w:rPr>
    </w:lvl>
    <w:lvl w:ilvl="8">
      <w:start w:val="1"/>
      <w:numFmt w:val="bullet"/>
      <w:lvlText w:val="•"/>
      <w:lvlJc w:val="left"/>
      <w:pPr>
        <w:ind w:left="8012" w:hanging="721"/>
      </w:pPr>
      <w:rPr>
        <w:rFonts w:hint="default"/>
      </w:rPr>
    </w:lvl>
  </w:abstractNum>
  <w:num w:numId="1">
    <w:abstractNumId w:val="5"/>
  </w:num>
  <w:num w:numId="2">
    <w:abstractNumId w:val="6"/>
  </w:num>
  <w:num w:numId="3">
    <w:abstractNumId w:val="3"/>
  </w:num>
  <w:num w:numId="4">
    <w:abstractNumId w:val="4"/>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AB4"/>
    <w:rsid w:val="000524CB"/>
    <w:rsid w:val="0015254D"/>
    <w:rsid w:val="00397C1B"/>
    <w:rsid w:val="00455F12"/>
    <w:rsid w:val="00622158"/>
    <w:rsid w:val="008F59E9"/>
    <w:rsid w:val="0090508B"/>
    <w:rsid w:val="00A40450"/>
    <w:rsid w:val="00A746AB"/>
    <w:rsid w:val="00AD2AB4"/>
    <w:rsid w:val="00EF3B6A"/>
    <w:rsid w:val="00F25490"/>
    <w:rsid w:val="00FB7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DF4E0"/>
  <w15:chartTrackingRefBased/>
  <w15:docId w15:val="{5D1861DA-CE2B-4E51-85D9-56CDC4695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AD2AB4"/>
    <w:pPr>
      <w:widowControl w:val="0"/>
      <w:spacing w:after="0" w:line="240" w:lineRule="auto"/>
      <w:ind w:left="1021" w:hanging="721"/>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D2AB4"/>
    <w:rPr>
      <w:rFonts w:ascii="Times New Roman" w:eastAsia="Times New Roman" w:hAnsi="Times New Roman"/>
      <w:b/>
      <w:bCs/>
      <w:sz w:val="24"/>
      <w:szCs w:val="24"/>
    </w:rPr>
  </w:style>
  <w:style w:type="paragraph" w:styleId="BodyText">
    <w:name w:val="Body Text"/>
    <w:basedOn w:val="Normal"/>
    <w:link w:val="BodyTextChar"/>
    <w:uiPriority w:val="1"/>
    <w:qFormat/>
    <w:rsid w:val="00AD2AB4"/>
    <w:pPr>
      <w:widowControl w:val="0"/>
      <w:spacing w:after="0" w:line="240" w:lineRule="auto"/>
      <w:ind w:left="1021"/>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AD2AB4"/>
    <w:rPr>
      <w:rFonts w:ascii="Times New Roman" w:eastAsia="Times New Roman" w:hAnsi="Times New Roman"/>
      <w:sz w:val="24"/>
      <w:szCs w:val="24"/>
    </w:rPr>
  </w:style>
  <w:style w:type="paragraph" w:styleId="ListParagraph">
    <w:name w:val="List Paragraph"/>
    <w:basedOn w:val="Normal"/>
    <w:uiPriority w:val="34"/>
    <w:qFormat/>
    <w:rsid w:val="00AD2AB4"/>
    <w:pPr>
      <w:widowControl w:val="0"/>
      <w:spacing w:after="0" w:line="240" w:lineRule="auto"/>
    </w:pPr>
  </w:style>
  <w:style w:type="paragraph" w:customStyle="1" w:styleId="TableParagraph">
    <w:name w:val="Table Paragraph"/>
    <w:basedOn w:val="Normal"/>
    <w:uiPriority w:val="1"/>
    <w:qFormat/>
    <w:rsid w:val="00AD2AB4"/>
    <w:pPr>
      <w:widowControl w:val="0"/>
      <w:spacing w:after="0" w:line="240" w:lineRule="auto"/>
    </w:pPr>
  </w:style>
  <w:style w:type="character" w:styleId="CommentReference">
    <w:name w:val="annotation reference"/>
    <w:basedOn w:val="DefaultParagraphFont"/>
    <w:uiPriority w:val="99"/>
    <w:semiHidden/>
    <w:unhideWhenUsed/>
    <w:rsid w:val="00AD2AB4"/>
    <w:rPr>
      <w:sz w:val="16"/>
      <w:szCs w:val="16"/>
    </w:rPr>
  </w:style>
  <w:style w:type="paragraph" w:styleId="CommentText">
    <w:name w:val="annotation text"/>
    <w:basedOn w:val="Normal"/>
    <w:link w:val="CommentTextChar"/>
    <w:uiPriority w:val="99"/>
    <w:semiHidden/>
    <w:unhideWhenUsed/>
    <w:rsid w:val="00AD2AB4"/>
    <w:pPr>
      <w:widowControl w:val="0"/>
      <w:spacing w:after="0" w:line="240" w:lineRule="auto"/>
    </w:pPr>
    <w:rPr>
      <w:sz w:val="20"/>
      <w:szCs w:val="20"/>
    </w:rPr>
  </w:style>
  <w:style w:type="character" w:customStyle="1" w:styleId="CommentTextChar">
    <w:name w:val="Comment Text Char"/>
    <w:basedOn w:val="DefaultParagraphFont"/>
    <w:link w:val="CommentText"/>
    <w:uiPriority w:val="99"/>
    <w:semiHidden/>
    <w:rsid w:val="00AD2AB4"/>
    <w:rPr>
      <w:sz w:val="20"/>
      <w:szCs w:val="20"/>
    </w:rPr>
  </w:style>
  <w:style w:type="paragraph" w:styleId="CommentSubject">
    <w:name w:val="annotation subject"/>
    <w:basedOn w:val="CommentText"/>
    <w:next w:val="CommentText"/>
    <w:link w:val="CommentSubjectChar"/>
    <w:uiPriority w:val="99"/>
    <w:semiHidden/>
    <w:unhideWhenUsed/>
    <w:rsid w:val="00AD2AB4"/>
    <w:rPr>
      <w:b/>
      <w:bCs/>
    </w:rPr>
  </w:style>
  <w:style w:type="character" w:customStyle="1" w:styleId="CommentSubjectChar">
    <w:name w:val="Comment Subject Char"/>
    <w:basedOn w:val="CommentTextChar"/>
    <w:link w:val="CommentSubject"/>
    <w:uiPriority w:val="99"/>
    <w:semiHidden/>
    <w:rsid w:val="00AD2AB4"/>
    <w:rPr>
      <w:b/>
      <w:bCs/>
      <w:sz w:val="20"/>
      <w:szCs w:val="20"/>
    </w:rPr>
  </w:style>
  <w:style w:type="paragraph" w:styleId="BalloonText">
    <w:name w:val="Balloon Text"/>
    <w:basedOn w:val="Normal"/>
    <w:link w:val="BalloonTextChar"/>
    <w:uiPriority w:val="99"/>
    <w:semiHidden/>
    <w:unhideWhenUsed/>
    <w:rsid w:val="00AD2AB4"/>
    <w:pPr>
      <w:widowControl w:val="0"/>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AB4"/>
    <w:rPr>
      <w:rFonts w:ascii="Tahoma" w:hAnsi="Tahoma" w:cs="Tahoma"/>
      <w:sz w:val="16"/>
      <w:szCs w:val="16"/>
    </w:rPr>
  </w:style>
  <w:style w:type="paragraph" w:styleId="Header">
    <w:name w:val="header"/>
    <w:basedOn w:val="Normal"/>
    <w:link w:val="HeaderChar"/>
    <w:uiPriority w:val="99"/>
    <w:unhideWhenUsed/>
    <w:rsid w:val="00AD2AB4"/>
    <w:pPr>
      <w:widowControl w:val="0"/>
      <w:tabs>
        <w:tab w:val="center" w:pos="4680"/>
        <w:tab w:val="right" w:pos="9360"/>
      </w:tabs>
      <w:spacing w:after="0" w:line="240" w:lineRule="auto"/>
    </w:pPr>
  </w:style>
  <w:style w:type="character" w:customStyle="1" w:styleId="HeaderChar">
    <w:name w:val="Header Char"/>
    <w:basedOn w:val="DefaultParagraphFont"/>
    <w:link w:val="Header"/>
    <w:uiPriority w:val="99"/>
    <w:rsid w:val="00AD2AB4"/>
  </w:style>
  <w:style w:type="paragraph" w:styleId="Footer">
    <w:name w:val="footer"/>
    <w:basedOn w:val="Normal"/>
    <w:link w:val="FooterChar"/>
    <w:uiPriority w:val="99"/>
    <w:unhideWhenUsed/>
    <w:rsid w:val="00AD2AB4"/>
    <w:pPr>
      <w:widowControl w:val="0"/>
      <w:tabs>
        <w:tab w:val="center" w:pos="4680"/>
        <w:tab w:val="right" w:pos="9360"/>
      </w:tabs>
      <w:spacing w:after="0" w:line="240" w:lineRule="auto"/>
    </w:pPr>
  </w:style>
  <w:style w:type="character" w:customStyle="1" w:styleId="FooterChar">
    <w:name w:val="Footer Char"/>
    <w:basedOn w:val="DefaultParagraphFont"/>
    <w:link w:val="Footer"/>
    <w:uiPriority w:val="99"/>
    <w:rsid w:val="00AD2AB4"/>
  </w:style>
  <w:style w:type="paragraph" w:styleId="Revision">
    <w:name w:val="Revision"/>
    <w:hidden/>
    <w:uiPriority w:val="99"/>
    <w:semiHidden/>
    <w:rsid w:val="00AD2AB4"/>
    <w:pPr>
      <w:spacing w:after="0" w:line="240" w:lineRule="auto"/>
    </w:pPr>
  </w:style>
  <w:style w:type="character" w:styleId="Hyperlink">
    <w:name w:val="Hyperlink"/>
    <w:basedOn w:val="DefaultParagraphFont"/>
    <w:uiPriority w:val="99"/>
    <w:unhideWhenUsed/>
    <w:rsid w:val="00A4045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stexhibits@aurorapubliclibrary.org" TargetMode="External"/><Relationship Id="rId5" Type="http://schemas.openxmlformats.org/officeDocument/2006/relationships/webSettings" Target="webSettings.xml"/><Relationship Id="rId10" Type="http://schemas.openxmlformats.org/officeDocument/2006/relationships/hyperlink" Target="mailto:eolaexhibits@aurorapubliclibrary.org" TargetMode="External"/><Relationship Id="rId4" Type="http://schemas.openxmlformats.org/officeDocument/2006/relationships/settings" Target="settings.xml"/><Relationship Id="rId9" Type="http://schemas.openxmlformats.org/officeDocument/2006/relationships/hyperlink" Target="mailto:santoriexhibits@aurorapubliclibrary.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E5221-3DA1-4720-8138-1DA91D485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Pages>
  <Words>752</Words>
  <Characters>4293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Aurora Public Library</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Beebee, Robyn</dc:creator>
  <cp:keywords/>
  <dc:description/>
  <cp:lastModifiedBy>Haberkern, Michaela</cp:lastModifiedBy>
  <cp:revision>5</cp:revision>
  <dcterms:created xsi:type="dcterms:W3CDTF">2018-08-20T19:51:00Z</dcterms:created>
  <dcterms:modified xsi:type="dcterms:W3CDTF">2018-08-30T14:52:00Z</dcterms:modified>
</cp:coreProperties>
</file>